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Integrated Performance Assessment Level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and Public Identities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Interpretive Listening and Reading Links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(full text below)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020"/>
        <w:tblGridChange w:id="0">
          <w:tblGrid>
            <w:gridCol w:w="2340"/>
            <w:gridCol w:w="70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Listening (Audio)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1: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Der Hipster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highlight w:val="white"/>
                <w:rtl w:val="0"/>
              </w:rPr>
              <w:t xml:space="preserve">**EDIT VIDEO (00:43-46 &amp; 2:42-2:46)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Length: 5:32 (stop at 5:00)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Date: 2015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6">
              <w:r w:rsidDel="00000000" w:rsidR="00000000" w:rsidRPr="00000000">
                <w:rPr>
                  <w:rFonts w:ascii="Cambria" w:cs="Cambria" w:eastAsia="Cambria" w:hAnsi="Cambria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https://www.youtube.com/watch?v=MNX6SjAo3R8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white"/>
                <w:rtl w:val="0"/>
              </w:rPr>
              <w:t xml:space="preserve">*Please preview video before using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2: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3: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Listening (Visual)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1: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2: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3: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Reading (Text)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1: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Jugendkultur und Ihre Zeichnen/Codes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Describes youth culture and subcultures.  Text only. Picture used for visual reading.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Date: 4.6.2014</w:t>
              <w:br w:type="textWrapping"/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https://collabor.idv.edu/lernblogantunovic/stories/49136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2A: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Jugendkultur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Describe a lot of youth culture and different subgroups.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Length: 161 pages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*Read table of contents to see what is interesting to you.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3: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Reading (Visual)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1: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Jugendkultur und Ihre Zeichnen/Codes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Picture of various youths.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Date: 4.6.2014</w:t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https://collabor.idv.edu/lernblogantunovic/stories/49136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2: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3: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Reading (Infographic)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1: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Gewichts-Diskriminierung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Example 3: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*Please check additional folder for listening mp4 or mp3 downloads.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 (Text):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Example 1: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Example 2: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Example 3: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Reading (Visual)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Example 1: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000500" cy="35052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llabor.idv.edu/lernblogantunovic/stories/49136" TargetMode="External"/><Relationship Id="rId10" Type="http://schemas.openxmlformats.org/officeDocument/2006/relationships/hyperlink" Target="https://collabor.idv.edu/lernblogantunovic/stories/49136" TargetMode="External"/><Relationship Id="rId13" Type="http://schemas.openxmlformats.org/officeDocument/2006/relationships/image" Target="media/image01.png"/><Relationship Id="rId12" Type="http://schemas.openxmlformats.org/officeDocument/2006/relationships/hyperlink" Target="http://www.forum-gesundheitspolitik.de/dossier/images/gewichts-diskriminierung-usa.gif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jugendkultur.at/wp-content/uploads/Jugendkultur-Guide.pdf" TargetMode="External"/><Relationship Id="rId5" Type="http://schemas.openxmlformats.org/officeDocument/2006/relationships/hyperlink" Target="https://www.youtube.com/watch?v=MNX6SjAo3R8" TargetMode="External"/><Relationship Id="rId6" Type="http://schemas.openxmlformats.org/officeDocument/2006/relationships/hyperlink" Target="https://www.youtube.com/watch?v=MNX6SjAo3R8" TargetMode="External"/><Relationship Id="rId7" Type="http://schemas.openxmlformats.org/officeDocument/2006/relationships/hyperlink" Target="https://collabor.idv.edu/lernblogantunovic/stories/49136" TargetMode="External"/><Relationship Id="rId8" Type="http://schemas.openxmlformats.org/officeDocument/2006/relationships/hyperlink" Target="https://collabor.idv.edu/lernblogantunovic/stories/49136" TargetMode="External"/></Relationships>
</file>